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44DBD" w:rsidRPr="00E703B7">
        <w:trPr>
          <w:trHeight w:hRule="exact" w:val="152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E703B7">
              <w:rPr>
                <w:rFonts w:ascii="Times New Roman" w:hAnsi="Times New Roman" w:cs="Times New Roman"/>
                <w:color w:val="000000"/>
                <w:lang w:val="ru-RU"/>
              </w:rPr>
              <w:t>ОмГА от 30.08</w:t>
            </w:r>
            <w:r w:rsidR="0073533B">
              <w:rPr>
                <w:rFonts w:ascii="Times New Roman" w:hAnsi="Times New Roman" w:cs="Times New Roman"/>
                <w:color w:val="000000"/>
                <w:lang w:val="ru-RU"/>
              </w:rPr>
              <w:t>.2021</w:t>
            </w:r>
            <w:r w:rsidR="00E703B7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44DBD" w:rsidRPr="00E703B7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4DBD" w:rsidRPr="00E703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44DBD" w:rsidRPr="00E703B7">
        <w:trPr>
          <w:trHeight w:hRule="exact" w:val="211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E703B7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44DBD" w:rsidRPr="00E703B7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6558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4DBD" w:rsidRPr="00E703B7">
        <w:trPr>
          <w:trHeight w:hRule="exact" w:val="113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Стандарты информационного взаимодействия систем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4DBD" w:rsidRPr="00E703B7">
        <w:trPr>
          <w:trHeight w:hRule="exact" w:val="1396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4DBD" w:rsidRPr="00E703B7">
        <w:trPr>
          <w:trHeight w:hRule="exact" w:val="138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44DBD" w:rsidRPr="00E703B7">
        <w:trPr>
          <w:trHeight w:hRule="exact" w:val="416"/>
        </w:trPr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155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44D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4DBD" w:rsidRDefault="00844D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24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44DBD">
        <w:trPr>
          <w:trHeight w:hRule="exact" w:val="307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402"/>
        </w:trPr>
        <w:tc>
          <w:tcPr>
            <w:tcW w:w="143" w:type="dxa"/>
          </w:tcPr>
          <w:p w:rsidR="00844DBD" w:rsidRDefault="00844DBD"/>
        </w:tc>
        <w:tc>
          <w:tcPr>
            <w:tcW w:w="285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1419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1277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  <w:tc>
          <w:tcPr>
            <w:tcW w:w="2836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4DBD">
        <w:trPr>
          <w:trHeight w:hRule="exact" w:val="138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143" w:type="dxa"/>
          </w:tcPr>
          <w:p w:rsidR="00844DBD" w:rsidRDefault="00844D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7353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703FB"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4D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44DBD" w:rsidRPr="00655807" w:rsidRDefault="006558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44DBD" w:rsidRPr="00E703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4DBD">
        <w:trPr>
          <w:trHeight w:hRule="exact" w:val="555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4DBD" w:rsidRPr="00E703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33B" w:rsidRDefault="0073533B" w:rsidP="007353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E703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149DB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«Стандарты информационного взаим</w:t>
            </w:r>
            <w:r w:rsid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одействия систем» в течение 2021/2022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E70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44DBD" w:rsidRPr="00E703B7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«Стандарты информационного взаимодействия систем».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4DBD" w:rsidRPr="00E703B7">
        <w:trPr>
          <w:trHeight w:hRule="exact" w:val="138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«Стандарты информационного взаимодействия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4DBD" w:rsidRPr="00E70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844DBD" w:rsidRPr="00E703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844DBD" w:rsidRPr="00E70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844DBD" w:rsidRPr="00E703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844DBD" w:rsidRPr="00E703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844DBD" w:rsidRPr="00E703B7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44DBD" w:rsidRPr="00E703B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844DBD" w:rsidRPr="00E703B7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844DBD" w:rsidRPr="00E703B7">
        <w:trPr>
          <w:trHeight w:hRule="exact" w:val="416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4DBD" w:rsidRPr="00E703B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«Стандарты информационного взаимодействия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44DBD" w:rsidRPr="00E703B7">
        <w:trPr>
          <w:trHeight w:hRule="exact" w:val="138"/>
        </w:trPr>
        <w:tc>
          <w:tcPr>
            <w:tcW w:w="397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4D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844DBD"/>
        </w:tc>
      </w:tr>
      <w:tr w:rsidR="00844DBD" w:rsidRPr="00E703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Разработка программных приложений и интерфейсов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Серверное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Интернет- программирование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844DBD" w:rsidRPr="0073533B" w:rsidRDefault="00A703FB">
            <w:pPr>
              <w:spacing w:after="0" w:line="240" w:lineRule="auto"/>
              <w:jc w:val="center"/>
              <w:rPr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 w:rsidRPr="00E703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4D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844DBD">
        <w:trPr>
          <w:trHeight w:hRule="exact" w:val="138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4DBD" w:rsidRPr="0073533B" w:rsidRDefault="00844D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4DBD">
        <w:trPr>
          <w:trHeight w:hRule="exact" w:val="416"/>
        </w:trPr>
        <w:tc>
          <w:tcPr>
            <w:tcW w:w="3970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1702" w:type="dxa"/>
          </w:tcPr>
          <w:p w:rsidR="00844DBD" w:rsidRDefault="00844DBD"/>
        </w:tc>
        <w:tc>
          <w:tcPr>
            <w:tcW w:w="426" w:type="dxa"/>
          </w:tcPr>
          <w:p w:rsidR="00844DBD" w:rsidRDefault="00844DBD"/>
        </w:tc>
        <w:tc>
          <w:tcPr>
            <w:tcW w:w="710" w:type="dxa"/>
          </w:tcPr>
          <w:p w:rsidR="00844DBD" w:rsidRDefault="00844DBD"/>
        </w:tc>
        <w:tc>
          <w:tcPr>
            <w:tcW w:w="143" w:type="dxa"/>
          </w:tcPr>
          <w:p w:rsidR="00844DBD" w:rsidRDefault="00844DBD"/>
        </w:tc>
        <w:tc>
          <w:tcPr>
            <w:tcW w:w="993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передачи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SCTP и DCP.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следующего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4D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4D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Стандарты информационного взаимодействия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4D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44DBD" w:rsidRPr="00E703B7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4DBD" w:rsidRPr="00E703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системах информационного взаимодействия и компьютерных сетях</w:t>
            </w:r>
          </w:p>
        </w:tc>
      </w:tr>
      <w:tr w:rsidR="00844DBD" w:rsidRPr="00E703B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термины и определения. Понятие протокола. Иерархия протоколов. Интерфейсы и сервисы. Обобщенная структурная схема сети. Методы коммуникации информации в сетях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технологии сетей передачи данных. Стандартизирующие  организации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Эталонная модель взаимодействия открытых систем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Эталонная модель взаимодействия открытых систем (ВОС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 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Иерархия протоколов в различных стеках. 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СтекIEEE 802. СтекIPX/SPX. СтекNetBIOS/SMP. СтекH323. СтекSS7.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физическом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передачи. Коаксиальный кабель. Витая пара. Оптоволокно. Структурированная кабельная система. Активное сетевое оборудование. Модуляция сигналов. Амплитудная модуляция. Частотная модуляция. Фазовая модуляция. Квадратурная амплитудная модуляция. Технология расширенного спектра. Кодирование сигнала. 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MLT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Протоколы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RARP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Маршрутизация.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Коммутация пакетов по меткам (MPLS).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транспортном уровне.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Установление сессии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Множественность потоков и варианты доставки.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Многодомность. Установление ассоциаций. Завершение работы ассоциации. Протокол DCP.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>
        <w:trPr>
          <w:trHeight w:hRule="exact" w:val="10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сведения об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паролей на сетевых элементах. Межсетевые экраны.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Списки доступа.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 Виртуальные локальные сети и безопасность</w:t>
            </w: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Перспективы развития систем коммуникаций</w:t>
            </w:r>
          </w:p>
        </w:tc>
      </w:tr>
      <w:tr w:rsidR="00844DBD" w:rsidRPr="00E703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развития систем коммуникаций.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.323. 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сетях и системах передачи информации</w:t>
            </w:r>
          </w:p>
        </w:tc>
      </w:tr>
      <w:tr w:rsidR="00844DB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определения.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протокола. Иерархия протоколов.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Интерфейсы и сервисы. Обобщенная структурная схема сети.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коммуникации информации в сетях связи.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технологии сетей передачи данных.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Стандартизирующие  организации.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построения коммуникационных сетей</w:t>
            </w:r>
          </w:p>
        </w:tc>
      </w:tr>
      <w:tr w:rsidR="00844DB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коммуникационных сетей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Обзор эталонной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(ВОС).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Иерархия протоколов в различных стеках.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NetBIOS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СтекH323.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СтекSS7.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передачи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Коаксиальный кабель.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Витая пара.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Оптоволокно.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Структурированная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кабельная система.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Активное сетевое оборудование и способы модуляции сигналов</w:t>
            </w:r>
          </w:p>
        </w:tc>
      </w:tr>
      <w:tr w:rsidR="00844DBD" w:rsidRPr="00E703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Активное сетевое оборудование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Модуляция сигналов.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Фазовая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Квадратурная амплитудная модуляция.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расширенного спектра.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сигнала при передаче информации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NRZL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КодRz.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КодMLT-3.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Манчестерский код.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канальном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к среде.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Динамическое выделение канала.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множественного доступа. Группа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IEEE802.2 LLC.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Технология Ethernet</w:t>
            </w:r>
          </w:p>
        </w:tc>
      </w:tr>
      <w:tr w:rsidR="00844DBD" w:rsidRPr="00E703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доступа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Форматы кадров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GigabitEthernet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региональных сетей.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MetroEthernet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стандартов канального уровня</w:t>
            </w:r>
          </w:p>
        </w:tc>
      </w:tr>
      <w:tr w:rsidR="00844DBD" w:rsidRPr="00E703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стандартов канального уровня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ети с маркерным доступом.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AnyLan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доступа с виртуальными каналами.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беспроводного доступа</w:t>
            </w:r>
          </w:p>
        </w:tc>
      </w:tr>
      <w:tr w:rsidR="00844D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беспроводного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доступа к среде в беспроводных сетях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802.11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Стек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802.16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WiFiMAX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Blueooth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взаимодействие на сетевом уровне.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сетевого уровня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IPv6.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IP</w:t>
            </w:r>
          </w:p>
        </w:tc>
      </w:tr>
      <w:tr w:rsidR="00844D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протоколов стека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ICMP.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ПротоколыARP.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ПротоколыRARP.</w:t>
            </w:r>
          </w:p>
        </w:tc>
      </w:tr>
      <w:tr w:rsidR="00844DBD">
        <w:trPr>
          <w:trHeight w:hRule="exact" w:val="14"/>
        </w:trPr>
        <w:tc>
          <w:tcPr>
            <w:tcW w:w="9640" w:type="dxa"/>
          </w:tcPr>
          <w:p w:rsidR="00844DBD" w:rsidRDefault="00844DBD"/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Маршрутизация и коммутация пакетов</w:t>
            </w:r>
          </w:p>
        </w:tc>
      </w:tr>
      <w:tr w:rsidR="00844DBD" w:rsidRPr="00E703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 и коммутация пакетов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Коммутация пакетов по меткам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-метки.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Label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Distribution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Protocol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Сервисынабазе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MPLS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</w:p>
        </w:tc>
      </w:tr>
      <w:tr w:rsidR="00844D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сессии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TCP.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Информационное взаимодействие на транспортном уровне.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Протоколы SCTP и DCP.</w:t>
            </w:r>
          </w:p>
        </w:tc>
      </w:tr>
      <w:tr w:rsidR="00844DBD" w:rsidRPr="00E703B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Информационное взаимодействие на транспортном уровне. Протоколы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 пакета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Множественность потоков и варианты доставки.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Многодомность.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Установление ассоциаций.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работы ассоциации.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сообщений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 заголовка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взаимодействия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при информационном взаимодействии</w:t>
            </w:r>
          </w:p>
        </w:tc>
      </w:tr>
      <w:tr w:rsidR="00844DBD" w:rsidRPr="00E703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при информационном взаимодействии.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об информационной безопасности.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атаки. Отказ в обслуживании.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паролей на сетевых элементах.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Межсетевые экраны.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Списки доступа.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 при сетевой фильтрации.</w:t>
            </w:r>
          </w:p>
        </w:tc>
      </w:tr>
      <w:tr w:rsidR="00844DBD" w:rsidRPr="00E703B7">
        <w:trPr>
          <w:trHeight w:hRule="exact" w:val="14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 следующего поколения</w:t>
            </w:r>
          </w:p>
        </w:tc>
      </w:tr>
      <w:tr w:rsidR="00844D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 следующего поколения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Сети на базе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.323.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видеосигналов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VideoSignal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Конференц-связь для передачи данных.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Мультимедийная передача.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A-IMS.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4DBD" w:rsidRPr="00E703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844D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4DBD" w:rsidRPr="00E703B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«Стандарты информационного взаимодействия систем» / Червенчук И.В.. – Омск: Изд-во Омской гуманитарной академии, 2020.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4DBD" w:rsidRPr="00E703B7">
        <w:trPr>
          <w:trHeight w:hRule="exact" w:val="138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4DBD" w:rsidRPr="00E703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Кузьмич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Пупков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978-5-7638-3943-2.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4" w:history="1">
              <w:r w:rsidR="00611FB8">
                <w:rPr>
                  <w:rStyle w:val="a3"/>
                  <w:lang w:val="ru-RU"/>
                </w:rPr>
                <w:t>http://www.iprbookshop.ru/84333.html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E703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Проскуряков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978-5-9275-2792-2.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5" w:history="1">
              <w:r w:rsidR="00611FB8">
                <w:rPr>
                  <w:rStyle w:val="a3"/>
                  <w:lang w:val="ru-RU"/>
                </w:rPr>
                <w:t>http://www.iprbookshop.ru/87719.html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E703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Василевский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Королькова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Шалимов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Кулябов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978-5-534-00949-1.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6" w:history="1">
              <w:r w:rsidR="00611FB8">
                <w:rPr>
                  <w:rStyle w:val="a3"/>
                  <w:lang w:val="ru-RU"/>
                </w:rPr>
                <w:t>https://www.biblio-online.ru/bcode/432824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>
        <w:trPr>
          <w:trHeight w:hRule="exact" w:val="277"/>
        </w:trPr>
        <w:tc>
          <w:tcPr>
            <w:tcW w:w="285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4DB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978-5-9916-9956-3.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11FB8">
                <w:rPr>
                  <w:rStyle w:val="a3"/>
                </w:rPr>
                <w:t>https://urait.ru/bcode/437226</w:t>
              </w:r>
            </w:hyperlink>
            <w:r>
              <w:t xml:space="preserve"> </w:t>
            </w:r>
          </w:p>
        </w:tc>
      </w:tr>
      <w:tr w:rsidR="00844DB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844DBD"/>
        </w:tc>
      </w:tr>
      <w:tr w:rsidR="00844DBD" w:rsidRPr="00E703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Чекмарев,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Вычислительные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978-5-4488-0071-9.</w:t>
            </w:r>
            <w:r w:rsidRPr="0073533B">
              <w:rPr>
                <w:lang w:val="ru-RU"/>
              </w:rPr>
              <w:t xml:space="preserve"> 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53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533B">
              <w:rPr>
                <w:lang w:val="ru-RU"/>
              </w:rPr>
              <w:t xml:space="preserve"> </w:t>
            </w:r>
            <w:hyperlink r:id="rId8" w:history="1">
              <w:r w:rsidR="00611FB8">
                <w:rPr>
                  <w:rStyle w:val="a3"/>
                  <w:lang w:val="ru-RU"/>
                </w:rPr>
                <w:t>http://www.iprbookshop.ru/87989.html</w:t>
              </w:r>
            </w:hyperlink>
            <w:r w:rsidRPr="0073533B">
              <w:rPr>
                <w:lang w:val="ru-RU"/>
              </w:rPr>
              <w:t xml:space="preserve"> 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44DB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844DBD" w:rsidRDefault="00A703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44DBD" w:rsidRPr="00E703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44DBD" w:rsidRPr="00E703B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44DBD" w:rsidRPr="00E703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44DBD" w:rsidRPr="00E703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44DBD" w:rsidRDefault="00A703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44DBD" w:rsidRPr="0073533B" w:rsidRDefault="00844D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44D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611F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44DBD" w:rsidRPr="00E703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44D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Default="00A703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44DBD" w:rsidRPr="00E703B7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44DBD" w:rsidRPr="00E703B7">
        <w:trPr>
          <w:trHeight w:hRule="exact" w:val="277"/>
        </w:trPr>
        <w:tc>
          <w:tcPr>
            <w:tcW w:w="9640" w:type="dxa"/>
          </w:tcPr>
          <w:p w:rsidR="00844DBD" w:rsidRPr="0073533B" w:rsidRDefault="00844DBD">
            <w:pPr>
              <w:rPr>
                <w:lang w:val="ru-RU"/>
              </w:rPr>
            </w:pPr>
          </w:p>
        </w:tc>
      </w:tr>
      <w:tr w:rsidR="00844DBD" w:rsidRPr="00E703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44DBD" w:rsidRPr="00E703B7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844DBD" w:rsidRPr="0073533B" w:rsidRDefault="00A703FB">
      <w:pPr>
        <w:rPr>
          <w:sz w:val="0"/>
          <w:szCs w:val="0"/>
          <w:lang w:val="ru-RU"/>
        </w:rPr>
      </w:pPr>
      <w:r w:rsidRPr="007353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4DBD" w:rsidRPr="00E703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44DBD" w:rsidRPr="0073533B" w:rsidRDefault="00A703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44DBD" w:rsidRPr="00E703B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44DBD" w:rsidRPr="00E703B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44DBD" w:rsidRPr="00E703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44DBD" w:rsidRPr="00E703B7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4DBD" w:rsidRPr="0073533B" w:rsidRDefault="00A703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35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53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844DBD" w:rsidRPr="0073533B" w:rsidRDefault="00844DBD">
      <w:pPr>
        <w:rPr>
          <w:lang w:val="ru-RU"/>
        </w:rPr>
      </w:pPr>
    </w:p>
    <w:sectPr w:rsidR="00844DBD" w:rsidRPr="0073533B" w:rsidSect="008B6D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68F4"/>
    <w:rsid w:val="00611FB8"/>
    <w:rsid w:val="00623543"/>
    <w:rsid w:val="00634660"/>
    <w:rsid w:val="00655807"/>
    <w:rsid w:val="0073533B"/>
    <w:rsid w:val="007B77CA"/>
    <w:rsid w:val="00844DBD"/>
    <w:rsid w:val="008B6DAC"/>
    <w:rsid w:val="00A703FB"/>
    <w:rsid w:val="00C149DB"/>
    <w:rsid w:val="00C43BF2"/>
    <w:rsid w:val="00C62C22"/>
    <w:rsid w:val="00D31453"/>
    <w:rsid w:val="00E209E2"/>
    <w:rsid w:val="00E35EDD"/>
    <w:rsid w:val="00E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E2859F-EF7F-4614-AA04-044B4A24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3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03F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1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798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22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7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433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7114</Words>
  <Characters>40554</Characters>
  <Application>Microsoft Office Word</Application>
  <DocSecurity>0</DocSecurity>
  <Lines>337</Lines>
  <Paragraphs>95</Paragraphs>
  <ScaleCrop>false</ScaleCrop>
  <Company/>
  <LinksUpToDate>false</LinksUpToDate>
  <CharactersWithSpaces>47573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2020-2021_ФГОС3++2020_Бак-ОФО-ПИ(20)_plx_Стандарты информационного взаимодействия систем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